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3" w:rsidRDefault="006C3A73" w:rsidP="003F569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71328B" w:rsidRDefault="00E7260B" w:rsidP="006C3A73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58.35pt;margin-top:4.15pt;width:676.8pt;height:246.75pt;z-index:251660288" adj="20510,17598" fillcolor="white [3201]" strokecolor="#9bbb59 [3206]" strokeweight="5pt">
            <v:fill r:id="rId6" o:title="Marbre blanc" type="tile"/>
            <v:stroke linestyle="thickThin"/>
            <v:shadow color="#868686"/>
            <v:textbox style="mso-next-textbox:#_x0000_s1026">
              <w:txbxContent>
                <w:p w:rsidR="006C3A73" w:rsidRDefault="00A0646C" w:rsidP="006C3A73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ae_AlMohanad Bold" w:hAnsi="ae_AlMohanad Bold" w:cs="MCS Diwany2 S_U normal.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6C3A7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Réforme Budgétaire</w:t>
                  </w:r>
                </w:p>
                <w:p w:rsidR="003F5694" w:rsidRDefault="006C3A73" w:rsidP="006C3A73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Le Portefeuille Ministériel de L’Enseignement Supérieur </w:t>
                  </w:r>
                </w:p>
                <w:p w:rsidR="003F5694" w:rsidRDefault="006C3A73" w:rsidP="003F5694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et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="003F569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 xml:space="preserve">e </w:t>
                  </w:r>
                  <w:r w:rsidR="003F5694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l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DZ"/>
                    </w:rPr>
                    <w:t>a Recherche Scientifique  </w:t>
                  </w:r>
                </w:p>
                <w:p w:rsidR="006C3A73" w:rsidRPr="000C1B73" w:rsidRDefault="000F4D4F" w:rsidP="003F5694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>(</w:t>
                  </w:r>
                  <w:r w:rsidR="006C3A73" w:rsidRPr="000C1B7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 xml:space="preserve"> Secteur</w:t>
                  </w:r>
                  <w:proofErr w:type="gramEnd"/>
                  <w:r w:rsidR="006C3A73" w:rsidRPr="000C1B7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 xml:space="preserve"> Pilote 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bidi="ar-DZ"/>
                    </w:rPr>
                    <w:t>)</w:t>
                  </w:r>
                </w:p>
                <w:p w:rsidR="00B52661" w:rsidRPr="00B522AD" w:rsidRDefault="00A0646C" w:rsidP="00A0646C">
                  <w:pPr>
                    <w:ind w:left="4962"/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ae_AlMohanad Bold" w:hAnsi="ae_AlMohanad Bold" w:cs="MCS Diwany2 S_U normal.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="00902B25" w:rsidRPr="00B522AD"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</w:p>
                <w:p w:rsidR="00B52661" w:rsidRPr="00B522AD" w:rsidRDefault="00A0646C" w:rsidP="00A0646C">
                  <w:pPr>
                    <w:numPr>
                      <w:ilvl w:val="0"/>
                      <w:numId w:val="1"/>
                    </w:numPr>
                    <w:tabs>
                      <w:tab w:val="num" w:pos="720"/>
                    </w:tabs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  <w:r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 w:rsidR="00902B25" w:rsidRPr="00B522AD"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  <w:r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  <w:t xml:space="preserve"> </w:t>
                  </w:r>
                </w:p>
                <w:p w:rsidR="00B522AD" w:rsidRPr="000E50AA" w:rsidRDefault="00B522AD" w:rsidP="00B522AD">
                  <w:pPr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B522AD" w:rsidRPr="00E77AEC" w:rsidRDefault="00B522AD" w:rsidP="00B522AD">
                  <w:pPr>
                    <w:jc w:val="center"/>
                    <w:rPr>
                      <w:rFonts w:ascii="ae_AlMohanad Bold" w:hAnsi="ae_AlMohanad Bold" w:cs="MCS Diwany2 S_U normal."/>
                      <w:b/>
                      <w:bCs/>
                      <w:sz w:val="56"/>
                      <w:szCs w:val="56"/>
                      <w:lang w:bidi="ar-DZ"/>
                    </w:rPr>
                  </w:pPr>
                </w:p>
              </w:txbxContent>
            </v:textbox>
          </v:shape>
        </w:pict>
      </w:r>
      <w:r w:rsidR="006C3A73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B522AD" w:rsidRDefault="00B522AD" w:rsidP="00B522AD">
      <w:pPr>
        <w:bidi/>
      </w:pPr>
    </w:p>
    <w:p w:rsidR="00B522AD" w:rsidRDefault="00B522AD" w:rsidP="00B522AD">
      <w:pPr>
        <w:bidi/>
      </w:pPr>
    </w:p>
    <w:p w:rsidR="00B522AD" w:rsidRDefault="00B522AD" w:rsidP="00B522AD">
      <w:pPr>
        <w:bidi/>
      </w:pPr>
    </w:p>
    <w:p w:rsidR="00B522AD" w:rsidRPr="00327001" w:rsidRDefault="00B522AD" w:rsidP="00B522AD">
      <w:pPr>
        <w:bidi/>
      </w:pPr>
    </w:p>
    <w:p w:rsidR="00B522AD" w:rsidRDefault="00B522AD" w:rsidP="00B522AD">
      <w:pPr>
        <w:bidi/>
      </w:pPr>
    </w:p>
    <w:p w:rsidR="00B522AD" w:rsidRDefault="00B522AD" w:rsidP="00B522AD">
      <w:pPr>
        <w:tabs>
          <w:tab w:val="left" w:pos="932"/>
        </w:tabs>
        <w:bidi/>
      </w:pPr>
      <w:r>
        <w:rPr>
          <w:rtl/>
        </w:rPr>
        <w:tab/>
      </w:r>
    </w:p>
    <w:p w:rsidR="00B522AD" w:rsidRDefault="00B522AD" w:rsidP="00B522AD">
      <w:pPr>
        <w:tabs>
          <w:tab w:val="left" w:pos="4787"/>
        </w:tabs>
        <w:bidi/>
      </w:pPr>
      <w:r>
        <w:rPr>
          <w:rtl/>
        </w:rPr>
        <w:tab/>
      </w:r>
    </w:p>
    <w:p w:rsidR="00B522AD" w:rsidRDefault="00B522AD" w:rsidP="00B522AD">
      <w:pPr>
        <w:tabs>
          <w:tab w:val="left" w:pos="2867"/>
        </w:tabs>
        <w:bidi/>
      </w:pPr>
      <w:r>
        <w:rPr>
          <w:rtl/>
        </w:rPr>
        <w:tab/>
      </w:r>
    </w:p>
    <w:p w:rsidR="000F0502" w:rsidRDefault="00E7260B" w:rsidP="000F0502">
      <w:pPr>
        <w:tabs>
          <w:tab w:val="left" w:pos="2867"/>
        </w:tabs>
        <w:bidi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81.45pt;margin-top:22pt;width:0;height:32.9pt;z-index:251676672" o:connectortype="straight">
            <v:stroke endarrow="block"/>
          </v:shape>
        </w:pict>
      </w:r>
    </w:p>
    <w:p w:rsidR="000F0502" w:rsidRDefault="000F0502" w:rsidP="000F0502">
      <w:pPr>
        <w:tabs>
          <w:tab w:val="left" w:pos="2867"/>
        </w:tabs>
        <w:bidi/>
      </w:pPr>
    </w:p>
    <w:p w:rsidR="000F0502" w:rsidRDefault="00E7260B" w:rsidP="000F0502">
      <w:pPr>
        <w:tabs>
          <w:tab w:val="left" w:pos="2867"/>
        </w:tabs>
        <w:bidi/>
      </w:pPr>
      <w:r>
        <w:rPr>
          <w:noProof/>
          <w:lang w:eastAsia="fr-FR"/>
        </w:rPr>
        <w:pict>
          <v:shape id="_x0000_s1078" type="#_x0000_t32" style="position:absolute;left:0;text-align:left;margin-left:727.25pt;margin-top:4.05pt;width:0;height:130.4pt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7" type="#_x0000_t32" style="position:absolute;left:0;text-align:left;margin-left:42.75pt;margin-top:3.95pt;width:684.5pt;height:.1pt;z-index:251677696" o:connectortype="straight"/>
        </w:pict>
      </w:r>
      <w:r>
        <w:rPr>
          <w:noProof/>
          <w:lang w:eastAsia="fr-FR"/>
        </w:rPr>
        <w:pict>
          <v:shape id="_x0000_s1079" type="#_x0000_t32" style="position:absolute;left:0;text-align:left;margin-left:42.75pt;margin-top:4.05pt;width:0;height:130.4pt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5" type="#_x0000_t32" style="position:absolute;left:0;text-align:left;margin-left:171.65pt;margin-top:8.8pt;width:0;height:130.4pt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4" type="#_x0000_t32" style="position:absolute;left:0;text-align:left;margin-left:278.35pt;margin-top:4pt;width:0;height:130.4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2" type="#_x0000_t32" style="position:absolute;left:0;text-align:left;margin-left:381.45pt;margin-top:4.05pt;width:0;height:130.4pt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1" type="#_x0000_t32" style="position:absolute;left:0;text-align:left;margin-left:491.65pt;margin-top:4pt;width:0;height:130.45pt;z-index:2516817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0" type="#_x0000_t32" style="position:absolute;left:0;text-align:left;margin-left:617.85pt;margin-top:4.05pt;width:.9pt;height:130.4pt;flip:x;z-index:251680768" o:connectortype="straight">
            <v:stroke endarrow="block"/>
          </v:shape>
        </w:pict>
      </w:r>
    </w:p>
    <w:p w:rsidR="000C1B73" w:rsidRDefault="000C1B73" w:rsidP="000C1B73">
      <w:pPr>
        <w:tabs>
          <w:tab w:val="left" w:pos="2867"/>
        </w:tabs>
        <w:bidi/>
      </w:pPr>
    </w:p>
    <w:p w:rsidR="000C1B73" w:rsidRDefault="000C1B73" w:rsidP="000C1B73">
      <w:pPr>
        <w:tabs>
          <w:tab w:val="left" w:pos="2867"/>
        </w:tabs>
        <w:bidi/>
      </w:pPr>
    </w:p>
    <w:p w:rsidR="000F0502" w:rsidRDefault="000F0502" w:rsidP="000F0502">
      <w:pPr>
        <w:tabs>
          <w:tab w:val="left" w:pos="2867"/>
        </w:tabs>
        <w:bidi/>
      </w:pPr>
    </w:p>
    <w:p w:rsidR="000F0502" w:rsidRDefault="000F0502" w:rsidP="000F0502">
      <w:pPr>
        <w:tabs>
          <w:tab w:val="left" w:pos="2867"/>
        </w:tabs>
        <w:bidi/>
      </w:pPr>
    </w:p>
    <w:p w:rsidR="00B522AD" w:rsidRDefault="00E7260B" w:rsidP="00B522AD">
      <w:pPr>
        <w:bidi/>
        <w:jc w:val="center"/>
      </w:pPr>
      <w:r>
        <w:rPr>
          <w:noProof/>
          <w:lang w:eastAsia="fr-FR"/>
        </w:rPr>
        <w:pict>
          <v:rect id="_x0000_s1074" style="position:absolute;left:0;text-align:left;margin-left:676.55pt;margin-top:11.95pt;width:92.45pt;height:75.55pt;z-index:2516756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4">
              <w:txbxContent>
                <w:p w:rsidR="000F0502" w:rsidRPr="005851A9" w:rsidRDefault="000F0502" w:rsidP="000F0502">
                  <w:pPr>
                    <w:bidi/>
                    <w:jc w:val="center"/>
                    <w:rPr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0F0502" w:rsidRDefault="000F4D4F" w:rsidP="000F4D4F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Communications</w:t>
                  </w:r>
                </w:p>
                <w:p w:rsidR="000F0502" w:rsidRPr="00CE53F5" w:rsidRDefault="000F0502" w:rsidP="000F0502">
                  <w:pPr>
                    <w:bidi/>
                    <w:spacing w:after="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3" style="position:absolute;left:0;text-align:left;margin-left:561.9pt;margin-top:11.95pt;width:108.45pt;height:75.55pt;z-index:2516746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3">
              <w:txbxContent>
                <w:p w:rsidR="005851A9" w:rsidRPr="005851A9" w:rsidRDefault="005851A9" w:rsidP="005851A9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5851A9" w:rsidRPr="00CE53F5" w:rsidRDefault="005851A9" w:rsidP="005851A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Modèle de </w:t>
                  </w:r>
                  <w:r w:rsidRPr="00AE6371">
                    <w:rPr>
                      <w:rFonts w:hint="eastAsia"/>
                      <w:b/>
                      <w:bCs/>
                      <w:lang w:bidi="ar-DZ"/>
                    </w:rPr>
                    <w:t>Contrat d</w:t>
                  </w:r>
                  <w:r w:rsidRPr="00AE6371">
                    <w:rPr>
                      <w:b/>
                      <w:bCs/>
                      <w:lang w:bidi="ar-DZ"/>
                    </w:rPr>
                    <w:t>’</w:t>
                  </w:r>
                  <w:r w:rsidRPr="00AE6371">
                    <w:rPr>
                      <w:rFonts w:hint="eastAsia"/>
                      <w:b/>
                      <w:bCs/>
                      <w:lang w:bidi="ar-DZ"/>
                    </w:rPr>
                    <w:t>actions et de performances</w:t>
                  </w:r>
                  <w:r>
                    <w:rPr>
                      <w:b/>
                      <w:bCs/>
                      <w:lang w:bidi="ar-DZ"/>
                    </w:rPr>
                    <w:t xml:space="preserve"> (CAP)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  <w:p w:rsidR="005851A9" w:rsidRPr="00CE53F5" w:rsidRDefault="005851A9" w:rsidP="005851A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left:0;text-align:left;margin-left:-2.55pt;margin-top:11.95pt;width:120pt;height:75.5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EB50B8" w:rsidRPr="00AE6371" w:rsidRDefault="00EB50B8" w:rsidP="000C1B73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Loi Organique n°18-15 Du 2 S</w:t>
                  </w:r>
                  <w:r w:rsidRPr="00AE6371">
                    <w:rPr>
                      <w:b/>
                      <w:bCs/>
                      <w:lang w:bidi="ar-DZ"/>
                    </w:rPr>
                    <w:t>eptembre 2018</w:t>
                  </w:r>
                  <w:r>
                    <w:rPr>
                      <w:b/>
                      <w:bCs/>
                      <w:lang w:bidi="ar-DZ"/>
                    </w:rPr>
                    <w:t xml:space="preserve"> Relative Aux Lois De F</w:t>
                  </w:r>
                  <w:r w:rsidRPr="00AE6371">
                    <w:rPr>
                      <w:b/>
                      <w:bCs/>
                      <w:lang w:bidi="ar-DZ"/>
                    </w:rPr>
                    <w:t>inances</w:t>
                  </w:r>
                </w:p>
                <w:p w:rsidR="00B522AD" w:rsidRPr="00CE53F5" w:rsidRDefault="00EB50B8" w:rsidP="00B522AD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9" style="position:absolute;left:0;text-align:left;margin-left:123.65pt;margin-top:11.95pt;width:112.9pt;height:75.55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9">
              <w:txbxContent>
                <w:p w:rsidR="00186F00" w:rsidRPr="005851A9" w:rsidRDefault="00186F00" w:rsidP="00186F00">
                  <w:pPr>
                    <w:bidi/>
                    <w:jc w:val="center"/>
                    <w:rPr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186F00" w:rsidRDefault="00186F00" w:rsidP="00186F0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Textes D’application</w:t>
                  </w:r>
                </w:p>
                <w:p w:rsidR="00186F00" w:rsidRPr="00CE53F5" w:rsidRDefault="00186F00" w:rsidP="00186F00">
                  <w:pPr>
                    <w:spacing w:after="0" w:line="240" w:lineRule="auto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De la LOLF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>
                    <w:rPr>
                      <w:rFonts w:ascii="ae_AlMohanad Bold" w:hAnsi="ae_AlMohanad Bold" w:cs="ae_AlMohanad Bold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0" style="position:absolute;left:0;text-align:left;margin-left:241.45pt;margin-top:11.95pt;width:98.2pt;height:75.55pt;z-index:2516715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0">
              <w:txbxContent>
                <w:p w:rsidR="005851A9" w:rsidRDefault="005851A9" w:rsidP="005851A9">
                  <w:pPr>
                    <w:jc w:val="center"/>
                    <w:rPr>
                      <w:b/>
                      <w:bCs/>
                      <w:lang w:bidi="ar-DZ"/>
                    </w:rPr>
                  </w:pPr>
                </w:p>
                <w:p w:rsidR="005851A9" w:rsidRDefault="005851A9" w:rsidP="005851A9">
                  <w:pPr>
                    <w:jc w:val="center"/>
                  </w:pPr>
                  <w:r>
                    <w:rPr>
                      <w:b/>
                      <w:bCs/>
                      <w:lang w:bidi="ar-DZ"/>
                    </w:rPr>
                    <w:t>Guide Référentiel</w:t>
                  </w:r>
                </w:p>
                <w:p w:rsidR="005851A9" w:rsidRPr="00CE53F5" w:rsidRDefault="005851A9" w:rsidP="005851A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1" style="position:absolute;left:0;text-align:left;margin-left:344.15pt;margin-top:11.95pt;width:90.55pt;height:75.55pt;z-index:2516725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1">
              <w:txbxContent>
                <w:p w:rsidR="000C1B73" w:rsidRDefault="000C1B73" w:rsidP="005851A9">
                  <w:pPr>
                    <w:spacing w:after="0"/>
                    <w:jc w:val="center"/>
                    <w:rPr>
                      <w:b/>
                      <w:bCs/>
                      <w:lang w:bidi="ar-DZ"/>
                    </w:rPr>
                  </w:pPr>
                </w:p>
                <w:p w:rsidR="005851A9" w:rsidRPr="00CE53F5" w:rsidRDefault="005851A9" w:rsidP="005851A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Notes et Documents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72" style="position:absolute;left:0;text-align:left;margin-left:440.15pt;margin-top:11.95pt;width:114.6pt;height:75.55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72">
              <w:txbxContent>
                <w:p w:rsidR="005851A9" w:rsidRPr="005851A9" w:rsidRDefault="005851A9" w:rsidP="005851A9">
                  <w:pPr>
                    <w:spacing w:after="0"/>
                    <w:jc w:val="center"/>
                    <w:rPr>
                      <w:b/>
                      <w:bCs/>
                      <w:sz w:val="16"/>
                      <w:szCs w:val="16"/>
                      <w:lang w:bidi="ar-DZ"/>
                    </w:rPr>
                  </w:pPr>
                </w:p>
                <w:p w:rsidR="005851A9" w:rsidRPr="00CE53F5" w:rsidRDefault="005851A9" w:rsidP="005851A9">
                  <w:pPr>
                    <w:spacing w:after="0"/>
                    <w:jc w:val="center"/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Modèle de</w:t>
                  </w:r>
                  <w:r w:rsidRPr="00AE6371">
                    <w:rPr>
                      <w:b/>
                      <w:bCs/>
                      <w:lang w:bidi="ar-DZ"/>
                    </w:rPr>
                    <w:t xml:space="preserve"> rapport sur les priorités et la planification (RPP)</w:t>
                  </w:r>
                  <w:r>
                    <w:rPr>
                      <w:rFonts w:ascii="ae_AlMohanad Bold" w:hAnsi="ae_AlMohanad Bold" w:cs="ae_AlMohanad Bold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B522AD" w:rsidRPr="005E1661" w:rsidRDefault="00B522AD" w:rsidP="00B522AD">
      <w:pPr>
        <w:bidi/>
      </w:pPr>
    </w:p>
    <w:p w:rsidR="00B522AD" w:rsidRPr="005E1661" w:rsidRDefault="00B522AD" w:rsidP="00B522AD">
      <w:pPr>
        <w:tabs>
          <w:tab w:val="left" w:pos="6137"/>
        </w:tabs>
        <w:bidi/>
      </w:pPr>
      <w:r>
        <w:rPr>
          <w:rtl/>
        </w:rPr>
        <w:tab/>
      </w:r>
    </w:p>
    <w:p w:rsidR="00B522AD" w:rsidRDefault="00B522AD" w:rsidP="00B522AD">
      <w:pPr>
        <w:bidi/>
      </w:pPr>
    </w:p>
    <w:p w:rsidR="005E1F28" w:rsidRDefault="005E1F28" w:rsidP="005E1F28">
      <w:pPr>
        <w:bidi/>
      </w:pPr>
    </w:p>
    <w:p w:rsidR="00FF3171" w:rsidRDefault="00FF3171" w:rsidP="00FF3171">
      <w:pPr>
        <w:bidi/>
      </w:pPr>
    </w:p>
    <w:p w:rsidR="00FF3171" w:rsidRDefault="00FF3171" w:rsidP="00FF3171">
      <w:pPr>
        <w:bidi/>
      </w:pPr>
    </w:p>
    <w:p w:rsidR="00FF3171" w:rsidRDefault="00FF3171" w:rsidP="00FF3171">
      <w:pPr>
        <w:bidi/>
      </w:pPr>
    </w:p>
    <w:p w:rsidR="009D7252" w:rsidRPr="009D7252" w:rsidRDefault="009D7252" w:rsidP="009D7252">
      <w:pPr>
        <w:pStyle w:val="Paragraphedeliste"/>
        <w:numPr>
          <w:ilvl w:val="0"/>
          <w:numId w:val="3"/>
        </w:numPr>
        <w:rPr>
          <w:rFonts w:ascii="ae_AlMateen" w:hAnsi="ae_AlMateen" w:cs="ae_AlMateen"/>
          <w:b/>
          <w:bCs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 </w:t>
      </w:r>
      <w:r w:rsidRPr="009D7252">
        <w:rPr>
          <w:rFonts w:ascii="ae_AlMateen" w:hAnsi="ae_AlMateen" w:cs="ae_AlMateen"/>
          <w:b/>
          <w:bCs/>
          <w:sz w:val="36"/>
          <w:szCs w:val="36"/>
          <w:lang w:bidi="ar-DZ"/>
        </w:rPr>
        <w:t>Loi Organique n°18-15 Du 2 Septembre 2018 Relative Aux Lois De Finances</w:t>
      </w:r>
    </w:p>
    <w:p w:rsidR="009D7252" w:rsidRPr="009E4F0F" w:rsidRDefault="009D7252" w:rsidP="00F223D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Loi organique n° 18-15 du 2 septembre 2018 relative aux lois de finances (Rectificatif).</w:t>
      </w:r>
    </w:p>
    <w:p w:rsidR="009D7252" w:rsidRPr="009E4F0F" w:rsidRDefault="009D7252" w:rsidP="00F223D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Loi organique n° 18-15 du 2 septembre 2018 relative aux lois de finances.</w:t>
      </w:r>
    </w:p>
    <w:p w:rsidR="00B522AD" w:rsidRPr="009E4F0F" w:rsidRDefault="009D7252" w:rsidP="008E20AB">
      <w:pPr>
        <w:pStyle w:val="Paragraphedeliste"/>
        <w:numPr>
          <w:ilvl w:val="0"/>
          <w:numId w:val="8"/>
        </w:numPr>
        <w:spacing w:after="0" w:line="240" w:lineRule="auto"/>
        <w:rPr>
          <w:b/>
          <w:bCs/>
          <w:sz w:val="36"/>
          <w:szCs w:val="36"/>
        </w:rPr>
      </w:pP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Loi organique n° 19-09 du 11 décembre 2019 modifiant et complétant la loi organique  n° 18-15 du 2 septembre 2018 relative aux lois de finances.</w:t>
      </w:r>
    </w:p>
    <w:p w:rsidR="008E20AB" w:rsidRPr="005E1F28" w:rsidRDefault="008E20AB" w:rsidP="008E20AB">
      <w:pPr>
        <w:spacing w:after="0" w:line="240" w:lineRule="auto"/>
        <w:ind w:left="484"/>
        <w:rPr>
          <w:sz w:val="28"/>
          <w:szCs w:val="28"/>
        </w:rPr>
      </w:pPr>
    </w:p>
    <w:p w:rsidR="00F223D6" w:rsidRPr="001B606D" w:rsidRDefault="00F223D6" w:rsidP="008E20AB">
      <w:pPr>
        <w:pStyle w:val="Paragraphedeliste"/>
        <w:numPr>
          <w:ilvl w:val="0"/>
          <w:numId w:val="3"/>
        </w:numPr>
        <w:spacing w:after="0"/>
        <w:rPr>
          <w:rFonts w:ascii="ae_AlMateen" w:hAnsi="ae_AlMateen" w:cs="ae_AlMateen"/>
          <w:b/>
          <w:bCs/>
          <w:sz w:val="36"/>
          <w:szCs w:val="36"/>
          <w:lang w:bidi="ar-DZ"/>
        </w:rPr>
      </w:pPr>
      <w:r w:rsidRPr="001B606D">
        <w:rPr>
          <w:rFonts w:ascii="ae_AlMateen" w:hAnsi="ae_AlMateen" w:cs="ae_AlMateen"/>
          <w:b/>
          <w:bCs/>
          <w:sz w:val="36"/>
          <w:szCs w:val="36"/>
          <w:lang w:bidi="ar-DZ"/>
        </w:rPr>
        <w:t>Textes D</w:t>
      </w:r>
      <w:r w:rsidRPr="001B606D">
        <w:rPr>
          <w:rFonts w:ascii="Sakkal Majalla" w:hAnsi="Sakkal Majalla" w:cs="ae_AlMateen"/>
          <w:b/>
          <w:bCs/>
          <w:sz w:val="36"/>
          <w:szCs w:val="36"/>
          <w:lang w:bidi="ar-DZ"/>
        </w:rPr>
        <w:t>’</w:t>
      </w:r>
      <w:r w:rsidRPr="001B606D">
        <w:rPr>
          <w:rFonts w:ascii="ae_AlMateen" w:hAnsi="ae_AlMateen" w:cs="ae_AlMateen"/>
          <w:b/>
          <w:bCs/>
          <w:sz w:val="36"/>
          <w:szCs w:val="36"/>
          <w:lang w:bidi="ar-DZ"/>
        </w:rPr>
        <w:t>application</w:t>
      </w:r>
    </w:p>
    <w:p w:rsidR="00F12701" w:rsidRPr="009E4F0F" w:rsidRDefault="009E4F0F" w:rsidP="008E20A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Décret exécutif n° 20-335 du   22 novembre 2020 fixant les modalités de conception et d’élaboration  du cadrage budgétaire à </w:t>
      </w:r>
      <w:r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moyen terme.</w:t>
      </w:r>
    </w:p>
    <w:p w:rsidR="00F12701" w:rsidRPr="009E4F0F" w:rsidRDefault="009E4F0F" w:rsidP="008E20A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20-353 du   30 novembre 2020 fixant les éléments constitutifs des classifications des recettes de l'Etat.</w:t>
      </w:r>
    </w:p>
    <w:p w:rsidR="009E4F0F" w:rsidRPr="009E4F0F" w:rsidRDefault="009E4F0F" w:rsidP="008E20A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Décret exécutif n° 20-354 du   30 novembre 2020 déterminant les éléments constitutifs des classifications des charges </w:t>
      </w:r>
      <w:r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  </w:t>
      </w:r>
    </w:p>
    <w:p w:rsidR="00F12701" w:rsidRPr="009E4F0F" w:rsidRDefault="009E4F0F" w:rsidP="009E4F0F">
      <w:pPr>
        <w:autoSpaceDE w:val="0"/>
        <w:autoSpaceDN w:val="0"/>
        <w:adjustRightInd w:val="0"/>
        <w:spacing w:after="0" w:line="240" w:lineRule="auto"/>
        <w:ind w:left="360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     </w:t>
      </w: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  </w:t>
      </w:r>
      <w:proofErr w:type="gramStart"/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budgétaires</w:t>
      </w:r>
      <w:proofErr w:type="gramEnd"/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de l'Etat.</w:t>
      </w:r>
    </w:p>
    <w:p w:rsidR="00F12701" w:rsidRPr="009E4F0F" w:rsidRDefault="009E4F0F" w:rsidP="009E4F0F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20-382 du   19 décembre 2020 fixant les conditions de réemploi des crédits annulés.</w:t>
      </w:r>
    </w:p>
    <w:p w:rsidR="009E4F0F" w:rsidRPr="009E4F0F" w:rsidRDefault="009E4F0F" w:rsidP="009E4F0F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20-383 du   19 décembre 2020 fixant les conditions et les modalités de mouvements de crédits ainsi que les modalités de</w:t>
      </w: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leur mise en </w:t>
      </w:r>
      <w:r w:rsidR="00B52CC0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œuvre</w:t>
      </w: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.</w:t>
      </w:r>
    </w:p>
    <w:p w:rsidR="008E20AB" w:rsidRPr="009E4F0F" w:rsidRDefault="009E4F0F" w:rsidP="009E4F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Décret exécutif n° 20-384 du   19 décembre 2020 fixant les conditions et les modalités d'exécution des crédits de paiement </w:t>
      </w:r>
      <w:r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</w:t>
      </w:r>
      <w:r w:rsidR="00F12701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disponibles pendant la période </w:t>
      </w:r>
      <w:r w:rsidR="008E20AB"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Complémentaire.</w:t>
      </w:r>
    </w:p>
    <w:p w:rsidR="009E4F0F" w:rsidRPr="00F66192" w:rsidRDefault="009E4F0F" w:rsidP="009E4F0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 w:rsidRPr="009E4F0F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20-385 du   19 décembre 2020 fixant les modalités d'inscription et d'emploi des fonds de concours au titre des programmes inscrits au budget  de l'Etat.</w:t>
      </w:r>
    </w:p>
    <w:p w:rsidR="00F66192" w:rsidRPr="00F66192" w:rsidRDefault="00F66192" w:rsidP="00F66192">
      <w:p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</w:p>
    <w:p w:rsidR="00F80196" w:rsidRPr="00F80196" w:rsidRDefault="00F80196" w:rsidP="005E1F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color w:val="000000"/>
          <w:sz w:val="36"/>
          <w:szCs w:val="36"/>
        </w:rPr>
      </w:pPr>
      <w:r w:rsidRPr="00F80196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F80196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20-386 du   19 décembre 2020 fixant les conditions de rétablissement de crédits.</w:t>
      </w:r>
    </w:p>
    <w:p w:rsidR="00F80196" w:rsidRPr="00F80196" w:rsidRDefault="00F80196" w:rsidP="005E1F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color w:val="000000"/>
          <w:sz w:val="36"/>
          <w:szCs w:val="36"/>
        </w:rPr>
      </w:pPr>
      <w:r w:rsidRPr="00F80196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F80196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Décret exécutif n° 20-387 du   19 décembre 2020 fixant les modalités d'établissement de l'état des effectifs accompagnants le </w:t>
      </w:r>
      <w:r w:rsidR="006E3AA3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</w:t>
      </w:r>
      <w:r w:rsidRPr="00F80196">
        <w:rPr>
          <w:rFonts w:ascii="Sakkal Majalla" w:hAnsi="Sakkal Majalla" w:cs="Sakkal Majalla"/>
          <w:b/>
          <w:bCs/>
          <w:color w:val="231F20"/>
          <w:sz w:val="36"/>
          <w:szCs w:val="36"/>
        </w:rPr>
        <w:t>projet de loi de finances de l'année.</w:t>
      </w:r>
    </w:p>
    <w:p w:rsidR="00F80196" w:rsidRPr="00F80196" w:rsidRDefault="00F80196" w:rsidP="005E1F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 w:rsidRPr="00F80196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Pr="00F80196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20-403 du   29 décembre 2020 fixant les conditions de maturation et d’inscription des programmes.</w:t>
      </w:r>
    </w:p>
    <w:p w:rsidR="00F80196" w:rsidRPr="006E3AA3" w:rsidRDefault="00F80196" w:rsidP="005E1F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color w:val="000000"/>
          <w:sz w:val="36"/>
          <w:szCs w:val="36"/>
        </w:rPr>
      </w:pPr>
      <w:r w:rsidRPr="00F80196">
        <w:rPr>
          <w:rFonts w:ascii="Sakkal Majalla" w:hAnsi="Sakkal Majalla" w:cs="Sakkal Majalla"/>
          <w:b/>
          <w:bCs/>
          <w:color w:val="231F20"/>
          <w:sz w:val="36"/>
          <w:szCs w:val="36"/>
        </w:rPr>
        <w:t xml:space="preserve"> Décret exécutif n° 20-404 du   29 décembre 2020 fixant les modalités de gestion et de délégation de crédits.</w:t>
      </w:r>
    </w:p>
    <w:p w:rsidR="006E3AA3" w:rsidRDefault="000F3BCE" w:rsidP="005E1F2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6E3AA3" w:rsidRPr="000F3BCE">
        <w:rPr>
          <w:rFonts w:ascii="Sakkal Majalla" w:hAnsi="Sakkal Majalla" w:cs="Sakkal Majalla"/>
          <w:b/>
          <w:bCs/>
          <w:color w:val="231F20"/>
          <w:sz w:val="36"/>
          <w:szCs w:val="36"/>
        </w:rPr>
        <w:t>Décret exécutif n° 21-62 du 8 février 2021 fixant les procédures de gestion budgétaire et comptable adaptées aux budgets des établissements publics à caractère administratif et autres organismes et établissements publics bénéficiant de dotations du budget de l'Etat.</w:t>
      </w:r>
    </w:p>
    <w:p w:rsidR="000F3BCE" w:rsidRPr="000F3BCE" w:rsidRDefault="000F3BCE" w:rsidP="000F3BCE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color w:val="000000"/>
          <w:sz w:val="36"/>
          <w:szCs w:val="36"/>
        </w:rPr>
      </w:pPr>
      <w:r w:rsidRPr="000F3BCE">
        <w:rPr>
          <w:rFonts w:ascii="Sakkal Majalla" w:hAnsi="Sakkal Majalla" w:cs="Sakkal Majalla"/>
          <w:b/>
          <w:bCs/>
          <w:color w:val="231F20"/>
          <w:sz w:val="36"/>
          <w:szCs w:val="36"/>
        </w:rPr>
        <w:t>Arrêté du  8 juin 2021 fixant les missions et l'organisation du haut comité d'évaluation et d'alerte des risques budgétaires.</w:t>
      </w:r>
    </w:p>
    <w:p w:rsidR="000F3BCE" w:rsidRPr="00B52CC0" w:rsidRDefault="000F3BCE" w:rsidP="00F2588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C</w:t>
      </w:r>
      <w:r w:rsidR="00994EC8"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irculaire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N°2698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="00F25888">
        <w:rPr>
          <w:rFonts w:ascii="Sakkal Majalla" w:hAnsi="Sakkal Majalla" w:cs="Sakkal Majalla"/>
          <w:b/>
          <w:bCs/>
          <w:color w:val="000000"/>
          <w:sz w:val="36"/>
          <w:szCs w:val="36"/>
        </w:rPr>
        <w:t>du 04 Avril 2022 Portant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 xml:space="preserve">  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« L'ACTION, une subdivision op</w:t>
      </w:r>
      <w:r w:rsidRPr="00B52CC0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</w:rPr>
        <w:t>érationnelle d'un programme »</w:t>
      </w:r>
    </w:p>
    <w:p w:rsidR="00B52CC0" w:rsidRPr="00B52CC0" w:rsidRDefault="000F3BCE" w:rsidP="00F25888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C</w:t>
      </w:r>
      <w:r w:rsidR="00994EC8"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irculaire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N°5959 </w:t>
      </w:r>
      <w:r w:rsidR="00F2588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du 07 Aout 2022 Portant 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« </w:t>
      </w:r>
      <w:r w:rsidRPr="00B52CC0">
        <w:rPr>
          <w:rFonts w:ascii="Sakkal Majalla" w:hAnsi="Sakkal Majalla" w:cs="Sakkal Majalla"/>
          <w:b/>
          <w:bCs/>
          <w:color w:val="000000"/>
          <w:spacing w:val="-3"/>
          <w:sz w:val="36"/>
          <w:szCs w:val="36"/>
        </w:rPr>
        <w:t xml:space="preserve">GESTION TRANSITOIRE DES CREDITS DU PROGRAMME EN </w:t>
      </w:r>
      <w:r w:rsidRPr="00B52CC0"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</w:rPr>
        <w:t xml:space="preserve">COURS ARRETE </w:t>
      </w:r>
      <w:r w:rsidR="00F25888"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</w:rPr>
        <w:t xml:space="preserve">     </w:t>
      </w:r>
      <w:r w:rsidRPr="00B52CC0"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</w:rPr>
        <w:t xml:space="preserve">AU 31/12/2022, AU TITRE DU PROGRAMME </w:t>
      </w:r>
      <w:r w:rsidR="00B52CC0"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SECTORIEL DECONCENTRE (PSD)</w:t>
      </w:r>
    </w:p>
    <w:p w:rsidR="000F3BCE" w:rsidRPr="00B52CC0" w:rsidRDefault="00B52CC0" w:rsidP="00F25888">
      <w:pPr>
        <w:pStyle w:val="Paragraphedeliste"/>
        <w:numPr>
          <w:ilvl w:val="0"/>
          <w:numId w:val="16"/>
        </w:numPr>
        <w:shd w:val="clear" w:color="auto" w:fill="FFFFFF"/>
        <w:spacing w:after="0"/>
        <w:rPr>
          <w:rFonts w:ascii="Sakkal Majalla" w:hAnsi="Sakkal Majalla" w:cs="Sakkal Majalla"/>
          <w:b/>
          <w:bCs/>
          <w:sz w:val="36"/>
          <w:szCs w:val="36"/>
        </w:rPr>
      </w:pPr>
      <w:r w:rsidRPr="00B52CC0">
        <w:rPr>
          <w:rFonts w:ascii="Sakkal Majalla" w:hAnsi="Sakkal Majalla" w:cs="Sakkal Majalla"/>
          <w:b/>
          <w:bCs/>
          <w:sz w:val="36"/>
          <w:szCs w:val="36"/>
          <w:lang w:bidi="ar-DZ"/>
        </w:rPr>
        <w:t>C</w:t>
      </w:r>
      <w:r w:rsidR="00994EC8" w:rsidRPr="00B52CC0">
        <w:rPr>
          <w:rFonts w:ascii="Sakkal Majalla" w:hAnsi="Sakkal Majalla" w:cs="Sakkal Majalla"/>
          <w:b/>
          <w:bCs/>
          <w:sz w:val="36"/>
          <w:szCs w:val="36"/>
          <w:lang w:bidi="ar-DZ"/>
        </w:rPr>
        <w:t>irculaire</w:t>
      </w:r>
      <w:r w:rsidRPr="00B52CC0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N°5960 </w:t>
      </w:r>
      <w:r w:rsidR="00F2588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du 07 Aout 2022</w:t>
      </w:r>
      <w:r w:rsidR="009678B5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Portant </w:t>
      </w:r>
      <w:r w:rsidRPr="00B52CC0">
        <w:rPr>
          <w:rFonts w:ascii="Sakkal Majalla" w:hAnsi="Sakkal Majalla" w:cs="Sakkal Majalla"/>
          <w:b/>
          <w:bCs/>
          <w:sz w:val="36"/>
          <w:szCs w:val="36"/>
          <w:lang w:bidi="ar-DZ"/>
        </w:rPr>
        <w:t>« </w:t>
      </w:r>
      <w:r w:rsidRPr="00B52CC0">
        <w:rPr>
          <w:rFonts w:ascii="Sakkal Majalla" w:hAnsi="Sakkal Majalla" w:cs="Sakkal Majalla"/>
          <w:b/>
          <w:bCs/>
          <w:color w:val="000000"/>
          <w:spacing w:val="-2"/>
          <w:sz w:val="36"/>
          <w:szCs w:val="36"/>
        </w:rPr>
        <w:t>MODALITES DE DESIGNATION DES RESPONSABLES </w:t>
      </w:r>
      <w:r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>BUDGETAIRES »</w:t>
      </w:r>
    </w:p>
    <w:p w:rsidR="00B52CC0" w:rsidRPr="00B52CC0" w:rsidRDefault="00994EC8" w:rsidP="005E1F28">
      <w:pPr>
        <w:pStyle w:val="Paragraphedeliste"/>
        <w:numPr>
          <w:ilvl w:val="0"/>
          <w:numId w:val="16"/>
        </w:numPr>
        <w:shd w:val="clear" w:color="auto" w:fill="FFFFFF"/>
        <w:tabs>
          <w:tab w:val="left" w:leader="dot" w:pos="3893"/>
        </w:tabs>
        <w:spacing w:after="0"/>
        <w:rPr>
          <w:rFonts w:ascii="Sakkal Majalla" w:hAnsi="Sakkal Majalla" w:cs="Sakkal Majalla"/>
          <w:b/>
          <w:bCs/>
          <w:color w:val="000000"/>
          <w:sz w:val="36"/>
          <w:szCs w:val="36"/>
        </w:rPr>
      </w:pPr>
      <w:r w:rsidRPr="000F3BCE">
        <w:rPr>
          <w:rFonts w:ascii="Sakkal Majalla" w:hAnsi="Sakkal Majalla" w:cs="Sakkal Majalla"/>
          <w:b/>
          <w:bCs/>
          <w:color w:val="231F20"/>
          <w:sz w:val="36"/>
          <w:szCs w:val="36"/>
        </w:rPr>
        <w:t>Arrêté</w:t>
      </w:r>
      <w:r w:rsidR="00B52CC0" w:rsidRPr="00B52CC0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N° 124 DU 15 Aout 2022  FIXANT LES  SOUS     CATEGORIES     DE DEPENSES AINSI QUE LA CODIFICATION DE LA CLASSIFICATION PAR NATURE ECONOMIQUE DES GHARGES BUDGETAIRES DE L'ETAT.</w:t>
      </w:r>
    </w:p>
    <w:p w:rsidR="00994EC8" w:rsidRPr="00994EC8" w:rsidRDefault="00994EC8" w:rsidP="00F25888">
      <w:pPr>
        <w:pStyle w:val="Paragraphedeliste"/>
        <w:numPr>
          <w:ilvl w:val="0"/>
          <w:numId w:val="16"/>
        </w:numPr>
        <w:shd w:val="clear" w:color="auto" w:fill="FFFFFF"/>
        <w:spacing w:after="0"/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  <w:rtl/>
        </w:rPr>
      </w:pPr>
      <w:r w:rsidRPr="00994EC8">
        <w:rPr>
          <w:rFonts w:ascii="Sakkal Majalla" w:hAnsi="Sakkal Majalla" w:cs="Sakkal Majalla"/>
          <w:b/>
          <w:bCs/>
          <w:sz w:val="36"/>
          <w:szCs w:val="36"/>
          <w:lang w:bidi="ar-DZ"/>
        </w:rPr>
        <w:t>Circulaire</w:t>
      </w:r>
      <w:r w:rsidRPr="00994EC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N° </w:t>
      </w:r>
      <w:r w:rsidR="00F25888">
        <w:rPr>
          <w:rFonts w:ascii="Sakkal Majalla" w:hAnsi="Sakkal Majalla" w:cs="Sakkal Majalla"/>
          <w:b/>
          <w:bCs/>
          <w:color w:val="000000"/>
          <w:sz w:val="36"/>
          <w:szCs w:val="36"/>
        </w:rPr>
        <w:t>6</w:t>
      </w:r>
      <w:r w:rsidRPr="00994EC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111 </w:t>
      </w:r>
      <w:r w:rsidR="009678B5">
        <w:rPr>
          <w:rFonts w:ascii="Sakkal Majalla" w:hAnsi="Sakkal Majalla" w:cs="Sakkal Majalla"/>
          <w:b/>
          <w:bCs/>
          <w:color w:val="000000"/>
          <w:sz w:val="36"/>
          <w:szCs w:val="36"/>
        </w:rPr>
        <w:t>du 17 Aout 2022 Portant</w:t>
      </w:r>
      <w:r w:rsidRPr="00994EC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Pr="00994EC8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</w:rPr>
        <w:t>"</w:t>
      </w:r>
      <w:r w:rsidRPr="00994EC8"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</w:rPr>
        <w:t xml:space="preserve">ALLOCATION DES CREDITS BUDGETAIRES AUX  </w:t>
      </w:r>
      <w:r w:rsidRPr="00994EC8">
        <w:rPr>
          <w:rFonts w:ascii="Sakkal Majalla" w:hAnsi="Sakkal Majalla" w:cs="Sakkal Majalla"/>
          <w:b/>
          <w:bCs/>
          <w:color w:val="000000"/>
          <w:spacing w:val="-3"/>
          <w:sz w:val="36"/>
          <w:szCs w:val="36"/>
        </w:rPr>
        <w:t xml:space="preserve">ETABLISSEMENTS PUBLICS A CARACTERE ADMINISTRATIF </w:t>
      </w:r>
      <w:r w:rsidRPr="00994EC8">
        <w:rPr>
          <w:rFonts w:ascii="Sakkal Majalla" w:hAnsi="Sakkal Majalla" w:cs="Sakkal Majalla"/>
          <w:b/>
          <w:bCs/>
          <w:color w:val="000000"/>
          <w:spacing w:val="-1"/>
          <w:sz w:val="36"/>
          <w:szCs w:val="36"/>
        </w:rPr>
        <w:t>ET ETABLISSEMENTS PUBLICS  ASSIMILES.</w:t>
      </w:r>
      <w:r w:rsidRPr="00994EC8">
        <w:rPr>
          <w:rFonts w:ascii="Sakkal Majalla" w:hAnsi="Sakkal Majalla" w:cs="Sakkal Majalla" w:hint="cs"/>
          <w:b/>
          <w:bCs/>
          <w:color w:val="000000"/>
          <w:spacing w:val="-1"/>
          <w:sz w:val="36"/>
          <w:szCs w:val="36"/>
          <w:rtl/>
        </w:rPr>
        <w:t>"</w:t>
      </w:r>
    </w:p>
    <w:p w:rsidR="000F3BCE" w:rsidRPr="00B52CC0" w:rsidRDefault="005E1F28" w:rsidP="009678B5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 w:rsidRPr="005E1F2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Circulaire </w:t>
      </w:r>
      <w:r w:rsidRPr="005E1F2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N° 6112 </w:t>
      </w:r>
      <w:r w:rsidR="009678B5">
        <w:rPr>
          <w:rFonts w:ascii="Sakkal Majalla" w:hAnsi="Sakkal Majalla" w:cs="Sakkal Majalla"/>
          <w:b/>
          <w:bCs/>
          <w:color w:val="000000"/>
          <w:sz w:val="36"/>
          <w:szCs w:val="36"/>
        </w:rPr>
        <w:t>du 17 Aout 2022 Portant</w:t>
      </w:r>
      <w:r w:rsidRPr="005E1F2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 </w:t>
      </w:r>
      <w:r w:rsidRPr="005E1F2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"</w:t>
      </w:r>
      <w:r w:rsidRPr="005E1F28">
        <w:rPr>
          <w:rFonts w:ascii="Sakkal Majalla" w:hAnsi="Sakkal Majalla" w:cs="Sakkal Majalla"/>
          <w:b/>
          <w:bCs/>
          <w:color w:val="000000"/>
          <w:spacing w:val="-2"/>
          <w:sz w:val="36"/>
          <w:szCs w:val="36"/>
        </w:rPr>
        <w:t xml:space="preserve">GESTION BUDGETAIRE DES  COMPTES  D'AFFECTATION  </w:t>
      </w:r>
      <w:r w:rsidRPr="005E1F2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SPECIALE (CAS)  </w:t>
      </w:r>
      <w:r w:rsidRPr="005E1F28">
        <w:rPr>
          <w:rFonts w:ascii="Sakkal Majalla" w:hAnsi="Sakkal Majalla" w:cs="Sakkal Majalla"/>
          <w:b/>
          <w:bCs/>
          <w:color w:val="000000"/>
          <w:sz w:val="36"/>
          <w:szCs w:val="36"/>
          <w:rtl/>
        </w:rPr>
        <w:t>"</w:t>
      </w:r>
    </w:p>
    <w:p w:rsidR="006E3AA3" w:rsidRPr="005E1F28" w:rsidRDefault="005E1F28" w:rsidP="005E1F28">
      <w:pPr>
        <w:autoSpaceDE w:val="0"/>
        <w:autoSpaceDN w:val="0"/>
        <w:adjustRightInd w:val="0"/>
        <w:spacing w:after="0" w:line="240" w:lineRule="auto"/>
        <w:ind w:left="360"/>
        <w:rPr>
          <w:rFonts w:ascii="Sakkal Majalla" w:hAnsi="Sakkal Majalla" w:cs="Sakkal Majalla"/>
          <w:color w:val="000000"/>
          <w:sz w:val="36"/>
          <w:szCs w:val="36"/>
        </w:rPr>
      </w:pPr>
      <w:r>
        <w:rPr>
          <w:rFonts w:ascii="Sakkal Majalla" w:hAnsi="Sakkal Majalla" w:cs="Sakkal Majalla"/>
          <w:color w:val="000000"/>
          <w:sz w:val="36"/>
          <w:szCs w:val="36"/>
        </w:rPr>
        <w:t xml:space="preserve"> </w:t>
      </w:r>
    </w:p>
    <w:p w:rsidR="000C1B73" w:rsidRPr="00F66192" w:rsidRDefault="006E3AA3" w:rsidP="00F66192">
      <w:pPr>
        <w:autoSpaceDE w:val="0"/>
        <w:autoSpaceDN w:val="0"/>
        <w:adjustRightInd w:val="0"/>
        <w:spacing w:after="0" w:line="240" w:lineRule="auto"/>
        <w:ind w:left="360"/>
        <w:rPr>
          <w:rFonts w:ascii="Sakkal Majalla" w:hAnsi="Sakkal Majalla" w:cs="Sakkal Majalla"/>
          <w:b/>
          <w:bCs/>
          <w:color w:val="231F20"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  <w:r w:rsidR="005E1F28">
        <w:rPr>
          <w:rFonts w:ascii="Sakkal Majalla" w:hAnsi="Sakkal Majalla" w:cs="Sakkal Majalla"/>
          <w:b/>
          <w:bCs/>
          <w:sz w:val="36"/>
          <w:szCs w:val="36"/>
          <w:lang w:bidi="ar-DZ"/>
        </w:rPr>
        <w:t xml:space="preserve"> </w:t>
      </w:r>
    </w:p>
    <w:p w:rsidR="005E1F28" w:rsidRPr="00CD3495" w:rsidRDefault="005E1F28" w:rsidP="00F25888">
      <w:pPr>
        <w:shd w:val="clear" w:color="auto" w:fill="FFFFFF"/>
        <w:spacing w:before="202" w:line="634" w:lineRule="exact"/>
        <w:rPr>
          <w:rFonts w:ascii="ae_AlMateen" w:hAnsi="ae_AlMateen" w:cs="ae_AlMateen"/>
          <w:b/>
          <w:bCs/>
          <w:sz w:val="36"/>
          <w:szCs w:val="36"/>
        </w:rPr>
      </w:pPr>
      <w:r w:rsidRPr="00CD3495">
        <w:rPr>
          <w:rFonts w:ascii="ae_AlMateen" w:hAnsi="ae_AlMateen" w:cs="ae_AlMateen"/>
          <w:b/>
          <w:bCs/>
          <w:color w:val="000000"/>
          <w:sz w:val="36"/>
          <w:szCs w:val="36"/>
        </w:rPr>
        <w:t>3</w:t>
      </w:r>
      <w:r w:rsidRPr="005E1F28">
        <w:rPr>
          <w:rFonts w:ascii="ae_AlMateen" w:hAnsi="ae_AlMateen" w:cs="ae_AlMateen"/>
          <w:color w:val="000000"/>
          <w:sz w:val="36"/>
          <w:szCs w:val="36"/>
        </w:rPr>
        <w:t>-</w:t>
      </w:r>
      <w:r w:rsidRPr="00CD3495">
        <w:rPr>
          <w:rFonts w:ascii="ae_AlMateen" w:hAnsi="ae_AlMateen" w:cs="ae_AlMateen"/>
          <w:b/>
          <w:bCs/>
          <w:color w:val="000000"/>
          <w:sz w:val="36"/>
          <w:szCs w:val="36"/>
        </w:rPr>
        <w:t>Guide R</w:t>
      </w:r>
      <w:r w:rsidRPr="00CD3495">
        <w:rPr>
          <w:rFonts w:ascii="ae_AlMateen" w:eastAsia="Times New Roman" w:hAnsi="ae_AlMateen" w:cs="ae_AlMateen"/>
          <w:b/>
          <w:bCs/>
          <w:color w:val="000000"/>
          <w:sz w:val="36"/>
          <w:szCs w:val="36"/>
        </w:rPr>
        <w:t xml:space="preserve">éférentiel </w:t>
      </w:r>
      <w:r w:rsidR="00F25888">
        <w:rPr>
          <w:rFonts w:ascii="ae_AlMateen" w:hAnsi="ae_AlMateen" w:cs="ae_AlMateen" w:hint="cs"/>
          <w:b/>
          <w:bCs/>
          <w:color w:val="000000"/>
          <w:sz w:val="36"/>
          <w:szCs w:val="36"/>
          <w:rtl/>
        </w:rPr>
        <w:t xml:space="preserve"> </w:t>
      </w:r>
    </w:p>
    <w:p w:rsidR="005E1F28" w:rsidRDefault="005E1F28" w:rsidP="005E1F28"/>
    <w:p w:rsidR="005E1F28" w:rsidRPr="00CD3495" w:rsidRDefault="005E1F28" w:rsidP="005E1F28">
      <w:pPr>
        <w:rPr>
          <w:rFonts w:ascii="ae_AlMateen" w:hAnsi="ae_AlMateen" w:cs="ae_AlMateen"/>
          <w:sz w:val="36"/>
          <w:szCs w:val="36"/>
        </w:rPr>
      </w:pPr>
      <w:r>
        <w:rPr>
          <w:rFonts w:ascii="Sakkal Majalla" w:hAnsi="Sakkal Majalla" w:cs="Sakkal Majalla"/>
          <w:b/>
          <w:bCs/>
          <w:sz w:val="44"/>
          <w:szCs w:val="44"/>
          <w:lang w:bidi="ar-DZ"/>
        </w:rPr>
        <w:t xml:space="preserve"> </w:t>
      </w:r>
      <w:r w:rsidRPr="00CD3495">
        <w:rPr>
          <w:rFonts w:ascii="ae_AlMateen" w:hAnsi="ae_AlMateen" w:cs="ae_AlMateen"/>
          <w:b/>
          <w:bCs/>
          <w:sz w:val="36"/>
          <w:szCs w:val="36"/>
          <w:lang w:bidi="ar-DZ"/>
        </w:rPr>
        <w:t>4-Notes et Documents</w:t>
      </w:r>
    </w:p>
    <w:p w:rsidR="005E1F28" w:rsidRPr="00663679" w:rsidRDefault="005E1F28" w:rsidP="005E1F28">
      <w:pPr>
        <w:rPr>
          <w:rFonts w:ascii="ae_AlMateen" w:hAnsi="ae_AlMateen" w:cs="ae_AlMateen"/>
          <w:sz w:val="16"/>
          <w:szCs w:val="16"/>
        </w:rPr>
      </w:pPr>
    </w:p>
    <w:p w:rsidR="005E1F28" w:rsidRPr="00CD3495" w:rsidRDefault="005E1F28" w:rsidP="005E1F28">
      <w:pPr>
        <w:rPr>
          <w:rFonts w:ascii="ae_AlMateen" w:hAnsi="ae_AlMateen" w:cs="ae_AlMateen"/>
          <w:sz w:val="36"/>
          <w:szCs w:val="36"/>
        </w:rPr>
      </w:pPr>
      <w:r w:rsidRPr="00CD3495">
        <w:rPr>
          <w:rFonts w:ascii="ae_AlMateen" w:hAnsi="ae_AlMateen" w:cs="ae_AlMateen"/>
          <w:b/>
          <w:bCs/>
          <w:sz w:val="36"/>
          <w:szCs w:val="36"/>
          <w:lang w:bidi="ar-DZ"/>
        </w:rPr>
        <w:t>5- Modèle de rapport sur les priorités et la planification (RPP)</w:t>
      </w:r>
    </w:p>
    <w:p w:rsidR="005E1F28" w:rsidRPr="00663679" w:rsidRDefault="005E1F28" w:rsidP="005E1F28">
      <w:pPr>
        <w:rPr>
          <w:rFonts w:ascii="ae_AlMateen" w:hAnsi="ae_AlMateen" w:cs="ae_AlMateen"/>
          <w:sz w:val="16"/>
          <w:szCs w:val="16"/>
          <w:rtl/>
        </w:rPr>
      </w:pPr>
    </w:p>
    <w:p w:rsidR="005E1F28" w:rsidRPr="00CD3495" w:rsidRDefault="005E1F28" w:rsidP="00CD3495">
      <w:pPr>
        <w:rPr>
          <w:rFonts w:ascii="ae_AlMateen" w:hAnsi="ae_AlMateen" w:cs="ae_AlMateen"/>
          <w:sz w:val="36"/>
          <w:szCs w:val="36"/>
        </w:rPr>
      </w:pPr>
      <w:r w:rsidRPr="00CD3495">
        <w:rPr>
          <w:rFonts w:ascii="ae_AlMateen" w:hAnsi="ae_AlMateen" w:cs="ae_AlMateen"/>
          <w:b/>
          <w:bCs/>
          <w:sz w:val="36"/>
          <w:szCs w:val="36"/>
          <w:lang w:bidi="ar-DZ"/>
        </w:rPr>
        <w:t>6- Modèle de Contrat d</w:t>
      </w:r>
      <w:r w:rsidRPr="00CD3495">
        <w:rPr>
          <w:rFonts w:ascii="Sakkal Majalla" w:hAnsi="Sakkal Majalla" w:cs="ae_AlMateen"/>
          <w:b/>
          <w:bCs/>
          <w:sz w:val="36"/>
          <w:szCs w:val="36"/>
          <w:lang w:bidi="ar-DZ"/>
        </w:rPr>
        <w:t>’</w:t>
      </w:r>
      <w:r w:rsidRPr="00CD3495">
        <w:rPr>
          <w:rFonts w:ascii="ae_AlMateen" w:hAnsi="ae_AlMateen" w:cs="ae_AlMateen"/>
          <w:b/>
          <w:bCs/>
          <w:sz w:val="36"/>
          <w:szCs w:val="36"/>
          <w:lang w:bidi="ar-DZ"/>
        </w:rPr>
        <w:t>actions et de performances (CAP)</w:t>
      </w:r>
    </w:p>
    <w:p w:rsidR="005E1F28" w:rsidRPr="00663679" w:rsidRDefault="005E1F28" w:rsidP="005E1F28">
      <w:pPr>
        <w:rPr>
          <w:rFonts w:ascii="ae_AlMateen" w:hAnsi="ae_AlMateen" w:cs="ae_AlMateen"/>
          <w:sz w:val="16"/>
          <w:szCs w:val="16"/>
        </w:rPr>
      </w:pPr>
    </w:p>
    <w:p w:rsidR="00F80196" w:rsidRPr="00663679" w:rsidRDefault="00CD3495" w:rsidP="00663679">
      <w:pPr>
        <w:rPr>
          <w:rFonts w:ascii="ae_AlMateen" w:hAnsi="ae_AlMateen" w:cs="ae_AlMateen"/>
          <w:b/>
          <w:bCs/>
          <w:sz w:val="36"/>
          <w:szCs w:val="36"/>
          <w:lang w:bidi="ar-DZ"/>
        </w:rPr>
      </w:pPr>
      <w:r>
        <w:rPr>
          <w:rFonts w:ascii="ae_AlMateen" w:hAnsi="ae_AlMateen" w:cs="ae_AlMateen"/>
          <w:b/>
          <w:bCs/>
          <w:sz w:val="36"/>
          <w:szCs w:val="36"/>
          <w:lang w:bidi="ar-DZ"/>
        </w:rPr>
        <w:t>7</w:t>
      </w:r>
      <w:r w:rsidR="005E1F28" w:rsidRPr="00CD3495">
        <w:rPr>
          <w:rFonts w:ascii="ae_AlMateen" w:hAnsi="ae_AlMateen" w:cs="ae_AlMateen"/>
          <w:b/>
          <w:bCs/>
          <w:sz w:val="36"/>
          <w:szCs w:val="36"/>
          <w:lang w:bidi="ar-DZ"/>
        </w:rPr>
        <w:t>- Communications Sur La LOLF</w:t>
      </w:r>
    </w:p>
    <w:p w:rsidR="00EE5EFE" w:rsidRDefault="002563BA" w:rsidP="00EE5EF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Communication sur</w:t>
      </w:r>
      <w:proofErr w:type="gramStart"/>
      <w:r w:rsidR="00EE5EFE" w:rsidRPr="00EE5EFE">
        <w:rPr>
          <w:rFonts w:ascii="ae_AlMateen" w:hAnsi="ae_AlMateen" w:cs="ae_AlMateen" w:hint="cs"/>
          <w:b/>
          <w:bCs/>
          <w:color w:val="000000"/>
          <w:sz w:val="36"/>
          <w:szCs w:val="36"/>
          <w:rtl/>
        </w:rPr>
        <w:t xml:space="preserve">: </w:t>
      </w: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L</w:t>
      </w:r>
      <w:r w:rsidR="00EE5EFE" w:rsidRPr="00EE5E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état</w:t>
      </w:r>
      <w:proofErr w:type="gramEnd"/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de mise en œuvre de la réforme budgétaire au sein du secteur pilote</w:t>
      </w:r>
    </w:p>
    <w:p w:rsidR="00EE5EFE" w:rsidRPr="00EE5EFE" w:rsidRDefault="003D349E" w:rsidP="00EE5EFE">
      <w:pPr>
        <w:autoSpaceDE w:val="0"/>
        <w:autoSpaceDN w:val="0"/>
        <w:adjustRightInd w:val="0"/>
        <w:spacing w:after="0" w:line="240" w:lineRule="auto"/>
        <w:ind w:left="360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</w:t>
      </w:r>
      <w:proofErr w:type="gramStart"/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de</w:t>
      </w:r>
      <w:proofErr w:type="gramEnd"/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l</w:t>
      </w:r>
      <w:r w:rsidR="00EE5EFE" w:rsidRPr="00EE5E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="00EE5EFE"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Enseignement Supérieur  et de la Recherche Scientifique</w:t>
      </w:r>
      <w:r w:rsid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 ; </w:t>
      </w:r>
      <w:r w:rsidR="00EE5EFE" w:rsidRPr="00EE5EF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CIC, 18 mai 2022 </w:t>
      </w:r>
    </w:p>
    <w:p w:rsidR="003D349E" w:rsidRDefault="003D349E" w:rsidP="003D349E">
      <w:p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     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>Présentée  par Dr. Mohammed Chérif  SABA L</w:t>
      </w:r>
      <w:r w:rsidRPr="003D34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Pr="003D349E">
        <w:rPr>
          <w:rFonts w:ascii="ae_AlMateen" w:hAnsi="ae_AlMateen" w:cs="ae_AlMateen"/>
          <w:b/>
          <w:bCs/>
          <w:color w:val="000000"/>
          <w:sz w:val="36"/>
          <w:szCs w:val="36"/>
        </w:rPr>
        <w:t>Inspecteur Général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Et président du comité 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</w:p>
    <w:p w:rsidR="003D349E" w:rsidRPr="003D349E" w:rsidRDefault="003D349E" w:rsidP="00663679">
      <w:p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      </w:t>
      </w:r>
      <w:proofErr w:type="gramStart"/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>budgétaire</w:t>
      </w:r>
      <w:proofErr w:type="gramEnd"/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sectoriel </w:t>
      </w:r>
    </w:p>
    <w:p w:rsidR="00EE5EFE" w:rsidRPr="00EE5EFE" w:rsidRDefault="00EE5EFE" w:rsidP="00EE5EFE">
      <w:p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</w:p>
    <w:p w:rsidR="00663679" w:rsidRDefault="00663679" w:rsidP="0066367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Communication sur</w:t>
      </w:r>
      <w:proofErr w:type="gramStart"/>
      <w:r w:rsidRPr="00EE5EFE">
        <w:rPr>
          <w:rFonts w:ascii="ae_AlMateen" w:hAnsi="ae_AlMateen" w:cs="ae_AlMateen" w:hint="cs"/>
          <w:b/>
          <w:bCs/>
          <w:color w:val="000000"/>
          <w:sz w:val="36"/>
          <w:szCs w:val="36"/>
          <w:rtl/>
        </w:rPr>
        <w:t xml:space="preserve">: </w:t>
      </w: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L</w:t>
      </w:r>
      <w:r w:rsidRPr="00EE5E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état</w:t>
      </w:r>
      <w:proofErr w:type="gramEnd"/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de mise en œuvre de la réforme budgétaire au sein du secteur pilote</w:t>
      </w:r>
    </w:p>
    <w:p w:rsidR="00663679" w:rsidRPr="00EE5EFE" w:rsidRDefault="00663679" w:rsidP="00663679">
      <w:pPr>
        <w:autoSpaceDE w:val="0"/>
        <w:autoSpaceDN w:val="0"/>
        <w:adjustRightInd w:val="0"/>
        <w:ind w:left="360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</w:t>
      </w:r>
      <w:proofErr w:type="gramStart"/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de</w:t>
      </w:r>
      <w:proofErr w:type="gramEnd"/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l</w:t>
      </w:r>
      <w:r w:rsidRPr="00EE5E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Pr="00EE5EFE">
        <w:rPr>
          <w:rFonts w:ascii="ae_AlMateen" w:hAnsi="ae_AlMateen" w:cs="ae_AlMateen"/>
          <w:b/>
          <w:bCs/>
          <w:color w:val="000000"/>
          <w:sz w:val="36"/>
          <w:szCs w:val="36"/>
        </w:rPr>
        <w:t>Enseignement Supérieur  et de la Recherche Scientifique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 ; </w:t>
      </w:r>
      <w:r w:rsidRPr="00663679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MESRS, 04 septembre 2022 </w:t>
      </w:r>
    </w:p>
    <w:p w:rsidR="00663679" w:rsidRDefault="00663679" w:rsidP="00663679">
      <w:p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     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>Présentée  par Dr. Mohammed Chérif  SABA L</w:t>
      </w:r>
      <w:r w:rsidRPr="003D34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’</w:t>
      </w:r>
      <w:r w:rsidRPr="003D349E">
        <w:rPr>
          <w:rFonts w:ascii="ae_AlMateen" w:hAnsi="ae_AlMateen" w:cs="ae_AlMateen"/>
          <w:b/>
          <w:bCs/>
          <w:color w:val="000000"/>
          <w:sz w:val="36"/>
          <w:szCs w:val="36"/>
        </w:rPr>
        <w:t>Inspecteur Général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Et président du comité 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</w:p>
    <w:p w:rsidR="00F80196" w:rsidRPr="00663679" w:rsidRDefault="00663679" w:rsidP="00663679">
      <w:pPr>
        <w:autoSpaceDE w:val="0"/>
        <w:autoSpaceDN w:val="0"/>
        <w:adjustRightInd w:val="0"/>
        <w:spacing w:after="0" w:line="240" w:lineRule="auto"/>
        <w:rPr>
          <w:rFonts w:ascii="ae_AlMateen" w:hAnsi="ae_AlMateen" w:cs="ae_AlMateen"/>
          <w:b/>
          <w:bCs/>
          <w:color w:val="000000"/>
          <w:sz w:val="36"/>
          <w:szCs w:val="36"/>
        </w:rPr>
      </w:pP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       </w:t>
      </w:r>
      <w:proofErr w:type="gramStart"/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>budgétaire</w:t>
      </w:r>
      <w:proofErr w:type="gramEnd"/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 </w:t>
      </w:r>
      <w:r>
        <w:rPr>
          <w:rFonts w:ascii="ae_AlMateen" w:hAnsi="ae_AlMateen" w:cs="ae_AlMateen"/>
          <w:b/>
          <w:bCs/>
          <w:color w:val="000000"/>
          <w:sz w:val="36"/>
          <w:szCs w:val="36"/>
        </w:rPr>
        <w:t xml:space="preserve"> </w:t>
      </w:r>
      <w:r w:rsidRPr="003D349E">
        <w:rPr>
          <w:rFonts w:ascii="ae_AlMateen" w:hAnsi="ae_AlMateen" w:cs="ae_AlMateen" w:hint="cs"/>
          <w:b/>
          <w:bCs/>
          <w:color w:val="000000"/>
          <w:sz w:val="36"/>
          <w:szCs w:val="36"/>
        </w:rPr>
        <w:t xml:space="preserve">sectoriel </w:t>
      </w:r>
    </w:p>
    <w:p w:rsidR="00F80196" w:rsidRPr="00B52CC0" w:rsidRDefault="00B52CC0" w:rsidP="005E1F28">
      <w:pPr>
        <w:autoSpaceDE w:val="0"/>
        <w:autoSpaceDN w:val="0"/>
        <w:adjustRightInd w:val="0"/>
        <w:spacing w:after="0" w:line="240" w:lineRule="auto"/>
        <w:ind w:left="360"/>
        <w:rPr>
          <w:rFonts w:ascii="Times-Bold" w:cs="Times-Bold"/>
          <w:color w:val="000000"/>
          <w:sz w:val="24"/>
          <w:szCs w:val="24"/>
        </w:rPr>
      </w:pPr>
      <w:r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5E1F28">
        <w:rPr>
          <w:rFonts w:ascii="Sakkal Majalla" w:hAnsi="Sakkal Majalla" w:cs="Sakkal Majalla"/>
          <w:b/>
          <w:bCs/>
          <w:color w:val="000000"/>
          <w:sz w:val="36"/>
          <w:szCs w:val="36"/>
        </w:rPr>
        <w:t xml:space="preserve"> </w:t>
      </w:r>
      <w:r w:rsidR="00F80196" w:rsidRPr="00B52CC0">
        <w:rPr>
          <w:rFonts w:ascii="Sakkal Majalla" w:hAnsi="Sakkal Majalla" w:cs="Sakkal Majalla"/>
          <w:b/>
          <w:bCs/>
          <w:color w:val="000000"/>
          <w:sz w:val="32"/>
          <w:szCs w:val="32"/>
        </w:rPr>
        <w:t xml:space="preserve">  </w:t>
      </w:r>
    </w:p>
    <w:p w:rsidR="00F80196" w:rsidRDefault="00B52CC0" w:rsidP="005E1F28">
      <w:pPr>
        <w:shd w:val="clear" w:color="auto" w:fill="FFFFFF"/>
        <w:spacing w:after="0" w:line="274" w:lineRule="exact"/>
        <w:ind w:left="360"/>
      </w:pPr>
      <w:r>
        <w:rPr>
          <w:rFonts w:ascii="Times-Bold" w:cs="Times-Bold"/>
          <w:color w:val="000000"/>
          <w:sz w:val="20"/>
          <w:szCs w:val="20"/>
        </w:rPr>
        <w:t xml:space="preserve"> </w:t>
      </w:r>
      <w:r w:rsidR="005E1F28">
        <w:rPr>
          <w:rFonts w:ascii="Times-Bold" w:cs="Times-Bold"/>
          <w:color w:val="000000"/>
          <w:sz w:val="20"/>
          <w:szCs w:val="20"/>
        </w:rPr>
        <w:t xml:space="preserve"> </w:t>
      </w:r>
    </w:p>
    <w:p w:rsidR="00B522AD" w:rsidRDefault="005E1F28" w:rsidP="00663679">
      <w:pPr>
        <w:ind w:left="360"/>
      </w:pPr>
      <w:r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r w:rsidR="00F12701" w:rsidRPr="008E20AB">
        <w:rPr>
          <w:rFonts w:ascii="Sakkal Majalla" w:hAnsi="Sakkal Majalla" w:cs="Sakkal Majalla"/>
          <w:color w:val="231F20"/>
          <w:sz w:val="36"/>
          <w:szCs w:val="36"/>
        </w:rPr>
        <w:t xml:space="preserve">  </w:t>
      </w:r>
    </w:p>
    <w:sectPr w:rsidR="00B522AD" w:rsidSect="00FF3171">
      <w:pgSz w:w="16838" w:h="11906" w:orient="landscape"/>
      <w:pgMar w:top="284" w:right="567" w:bottom="284" w:left="709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Time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B59"/>
    <w:multiLevelType w:val="hybridMultilevel"/>
    <w:tmpl w:val="995CEF0E"/>
    <w:lvl w:ilvl="0" w:tplc="B408365C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>
    <w:nsid w:val="0B7543F4"/>
    <w:multiLevelType w:val="hybridMultilevel"/>
    <w:tmpl w:val="34983AC2"/>
    <w:lvl w:ilvl="0" w:tplc="7A1E6D54">
      <w:start w:val="1"/>
      <w:numFmt w:val="bullet"/>
      <w:lvlText w:val="•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  <w:lvl w:ilvl="1" w:tplc="C30ACA12" w:tentative="1">
      <w:start w:val="1"/>
      <w:numFmt w:val="bullet"/>
      <w:lvlText w:val="•"/>
      <w:lvlJc w:val="left"/>
      <w:pPr>
        <w:tabs>
          <w:tab w:val="num" w:pos="6042"/>
        </w:tabs>
        <w:ind w:left="6042" w:hanging="360"/>
      </w:pPr>
      <w:rPr>
        <w:rFonts w:ascii="Times New Roman" w:hAnsi="Times New Roman" w:hint="default"/>
      </w:rPr>
    </w:lvl>
    <w:lvl w:ilvl="2" w:tplc="ACEAFBB6" w:tentative="1">
      <w:start w:val="1"/>
      <w:numFmt w:val="bullet"/>
      <w:lvlText w:val="•"/>
      <w:lvlJc w:val="left"/>
      <w:pPr>
        <w:tabs>
          <w:tab w:val="num" w:pos="6762"/>
        </w:tabs>
        <w:ind w:left="6762" w:hanging="360"/>
      </w:pPr>
      <w:rPr>
        <w:rFonts w:ascii="Times New Roman" w:hAnsi="Times New Roman" w:hint="default"/>
      </w:rPr>
    </w:lvl>
    <w:lvl w:ilvl="3" w:tplc="0E8680D6" w:tentative="1">
      <w:start w:val="1"/>
      <w:numFmt w:val="bullet"/>
      <w:lvlText w:val="•"/>
      <w:lvlJc w:val="left"/>
      <w:pPr>
        <w:tabs>
          <w:tab w:val="num" w:pos="7482"/>
        </w:tabs>
        <w:ind w:left="7482" w:hanging="360"/>
      </w:pPr>
      <w:rPr>
        <w:rFonts w:ascii="Times New Roman" w:hAnsi="Times New Roman" w:hint="default"/>
      </w:rPr>
    </w:lvl>
    <w:lvl w:ilvl="4" w:tplc="02942062" w:tentative="1">
      <w:start w:val="1"/>
      <w:numFmt w:val="bullet"/>
      <w:lvlText w:val="•"/>
      <w:lvlJc w:val="left"/>
      <w:pPr>
        <w:tabs>
          <w:tab w:val="num" w:pos="8202"/>
        </w:tabs>
        <w:ind w:left="8202" w:hanging="360"/>
      </w:pPr>
      <w:rPr>
        <w:rFonts w:ascii="Times New Roman" w:hAnsi="Times New Roman" w:hint="default"/>
      </w:rPr>
    </w:lvl>
    <w:lvl w:ilvl="5" w:tplc="B7721130" w:tentative="1">
      <w:start w:val="1"/>
      <w:numFmt w:val="bullet"/>
      <w:lvlText w:val="•"/>
      <w:lvlJc w:val="left"/>
      <w:pPr>
        <w:tabs>
          <w:tab w:val="num" w:pos="8922"/>
        </w:tabs>
        <w:ind w:left="8922" w:hanging="360"/>
      </w:pPr>
      <w:rPr>
        <w:rFonts w:ascii="Times New Roman" w:hAnsi="Times New Roman" w:hint="default"/>
      </w:rPr>
    </w:lvl>
    <w:lvl w:ilvl="6" w:tplc="B65A254E" w:tentative="1">
      <w:start w:val="1"/>
      <w:numFmt w:val="bullet"/>
      <w:lvlText w:val="•"/>
      <w:lvlJc w:val="left"/>
      <w:pPr>
        <w:tabs>
          <w:tab w:val="num" w:pos="9642"/>
        </w:tabs>
        <w:ind w:left="9642" w:hanging="360"/>
      </w:pPr>
      <w:rPr>
        <w:rFonts w:ascii="Times New Roman" w:hAnsi="Times New Roman" w:hint="default"/>
      </w:rPr>
    </w:lvl>
    <w:lvl w:ilvl="7" w:tplc="8F5C66A0" w:tentative="1">
      <w:start w:val="1"/>
      <w:numFmt w:val="bullet"/>
      <w:lvlText w:val="•"/>
      <w:lvlJc w:val="left"/>
      <w:pPr>
        <w:tabs>
          <w:tab w:val="num" w:pos="10362"/>
        </w:tabs>
        <w:ind w:left="10362" w:hanging="360"/>
      </w:pPr>
      <w:rPr>
        <w:rFonts w:ascii="Times New Roman" w:hAnsi="Times New Roman" w:hint="default"/>
      </w:rPr>
    </w:lvl>
    <w:lvl w:ilvl="8" w:tplc="9A66E5FC" w:tentative="1">
      <w:start w:val="1"/>
      <w:numFmt w:val="bullet"/>
      <w:lvlText w:val="•"/>
      <w:lvlJc w:val="left"/>
      <w:pPr>
        <w:tabs>
          <w:tab w:val="num" w:pos="11082"/>
        </w:tabs>
        <w:ind w:left="11082" w:hanging="360"/>
      </w:pPr>
      <w:rPr>
        <w:rFonts w:ascii="Times New Roman" w:hAnsi="Times New Roman" w:hint="default"/>
      </w:rPr>
    </w:lvl>
  </w:abstractNum>
  <w:abstractNum w:abstractNumId="2">
    <w:nsid w:val="10D72B66"/>
    <w:multiLevelType w:val="hybridMultilevel"/>
    <w:tmpl w:val="64E298C2"/>
    <w:lvl w:ilvl="0" w:tplc="040C000F">
      <w:start w:val="1"/>
      <w:numFmt w:val="decimal"/>
      <w:lvlText w:val="%1."/>
      <w:lvlJc w:val="left"/>
      <w:pPr>
        <w:ind w:left="1431" w:hanging="360"/>
      </w:p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1F8B5DCD"/>
    <w:multiLevelType w:val="hybridMultilevel"/>
    <w:tmpl w:val="7ABAAF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60FE"/>
    <w:multiLevelType w:val="hybridMultilevel"/>
    <w:tmpl w:val="BC3E3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95A"/>
    <w:multiLevelType w:val="hybridMultilevel"/>
    <w:tmpl w:val="EDEE7472"/>
    <w:lvl w:ilvl="0" w:tplc="B192A88E">
      <w:start w:val="1"/>
      <w:numFmt w:val="bullet"/>
      <w:lvlText w:val="-"/>
      <w:lvlJc w:val="left"/>
      <w:pPr>
        <w:ind w:left="480" w:hanging="360"/>
      </w:pPr>
      <w:rPr>
        <w:rFonts w:ascii="Sakkal Majalla" w:eastAsiaTheme="minorHAnsi" w:hAnsi="Sakkal Majalla" w:cs="Sakkal Majalla" w:hint="default"/>
        <w:b/>
        <w:color w:val="231F20"/>
        <w:sz w:val="28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2AC33C1"/>
    <w:multiLevelType w:val="hybridMultilevel"/>
    <w:tmpl w:val="55B68D4E"/>
    <w:lvl w:ilvl="0" w:tplc="2190F554">
      <w:start w:val="1"/>
      <w:numFmt w:val="bullet"/>
      <w:lvlText w:val="-"/>
      <w:lvlJc w:val="left"/>
      <w:pPr>
        <w:ind w:left="480" w:hanging="360"/>
      </w:pPr>
      <w:rPr>
        <w:rFonts w:ascii="Sakkal Majalla" w:eastAsiaTheme="minorHAnsi" w:hAnsi="Sakkal Majalla" w:cs="Sakkal Majall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429419F"/>
    <w:multiLevelType w:val="hybridMultilevel"/>
    <w:tmpl w:val="79647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0511"/>
    <w:multiLevelType w:val="hybridMultilevel"/>
    <w:tmpl w:val="3500C60E"/>
    <w:lvl w:ilvl="0" w:tplc="A320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C8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B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C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8D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A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886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A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4A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8D742EF"/>
    <w:multiLevelType w:val="hybridMultilevel"/>
    <w:tmpl w:val="287464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35312"/>
    <w:multiLevelType w:val="hybridMultilevel"/>
    <w:tmpl w:val="52BC6C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6BC8"/>
    <w:multiLevelType w:val="hybridMultilevel"/>
    <w:tmpl w:val="67268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B2999"/>
    <w:multiLevelType w:val="hybridMultilevel"/>
    <w:tmpl w:val="18C2083A"/>
    <w:lvl w:ilvl="0" w:tplc="06461AFC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50470634"/>
    <w:multiLevelType w:val="hybridMultilevel"/>
    <w:tmpl w:val="EB70E618"/>
    <w:lvl w:ilvl="0" w:tplc="9E8E4E4A">
      <w:start w:val="1"/>
      <w:numFmt w:val="bullet"/>
      <w:lvlText w:val="•"/>
      <w:lvlJc w:val="left"/>
      <w:pPr>
        <w:ind w:left="510" w:hanging="360"/>
      </w:pPr>
      <w:rPr>
        <w:rFonts w:ascii="Sakkal Majalla" w:eastAsiaTheme="minorHAnsi" w:hAnsi="Sakkal Majalla" w:cs="Sakkal Majalla" w:hint="default"/>
        <w:b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59B95447"/>
    <w:multiLevelType w:val="hybridMultilevel"/>
    <w:tmpl w:val="D63C3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3655D"/>
    <w:multiLevelType w:val="hybridMultilevel"/>
    <w:tmpl w:val="B46E7E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0F94"/>
    <w:multiLevelType w:val="hybridMultilevel"/>
    <w:tmpl w:val="D4402F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F33C7"/>
    <w:multiLevelType w:val="hybridMultilevel"/>
    <w:tmpl w:val="8EE212C8"/>
    <w:lvl w:ilvl="0" w:tplc="F7DC5DA0">
      <w:start w:val="1"/>
      <w:numFmt w:val="bullet"/>
      <w:lvlText w:val=""/>
      <w:lvlJc w:val="left"/>
      <w:pPr>
        <w:ind w:left="8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522AD"/>
    <w:rsid w:val="000761F1"/>
    <w:rsid w:val="000C0BA3"/>
    <w:rsid w:val="000C1B73"/>
    <w:rsid w:val="000F0502"/>
    <w:rsid w:val="000F3BCE"/>
    <w:rsid w:val="000F4D4F"/>
    <w:rsid w:val="00186F00"/>
    <w:rsid w:val="001B606D"/>
    <w:rsid w:val="00205846"/>
    <w:rsid w:val="002563BA"/>
    <w:rsid w:val="00262784"/>
    <w:rsid w:val="003D349E"/>
    <w:rsid w:val="003F5694"/>
    <w:rsid w:val="00407750"/>
    <w:rsid w:val="00503E91"/>
    <w:rsid w:val="00543523"/>
    <w:rsid w:val="005771B2"/>
    <w:rsid w:val="005808C0"/>
    <w:rsid w:val="005851A9"/>
    <w:rsid w:val="005D3DDD"/>
    <w:rsid w:val="005E1F28"/>
    <w:rsid w:val="00663679"/>
    <w:rsid w:val="00667C78"/>
    <w:rsid w:val="00670C8F"/>
    <w:rsid w:val="00676288"/>
    <w:rsid w:val="006A4447"/>
    <w:rsid w:val="006C3A73"/>
    <w:rsid w:val="006E3AA3"/>
    <w:rsid w:val="0071328B"/>
    <w:rsid w:val="008E20AB"/>
    <w:rsid w:val="00901543"/>
    <w:rsid w:val="00902B25"/>
    <w:rsid w:val="0094059C"/>
    <w:rsid w:val="009678B5"/>
    <w:rsid w:val="00994EC8"/>
    <w:rsid w:val="009D7252"/>
    <w:rsid w:val="009E4F0F"/>
    <w:rsid w:val="00A0646C"/>
    <w:rsid w:val="00A77EC3"/>
    <w:rsid w:val="00A809E1"/>
    <w:rsid w:val="00B522AD"/>
    <w:rsid w:val="00B52661"/>
    <w:rsid w:val="00B52CC0"/>
    <w:rsid w:val="00B74AED"/>
    <w:rsid w:val="00CA6A6B"/>
    <w:rsid w:val="00CD3495"/>
    <w:rsid w:val="00E24FB4"/>
    <w:rsid w:val="00E7260B"/>
    <w:rsid w:val="00EB50B8"/>
    <w:rsid w:val="00EE5EFE"/>
    <w:rsid w:val="00F12701"/>
    <w:rsid w:val="00F223D6"/>
    <w:rsid w:val="00F25888"/>
    <w:rsid w:val="00F33A73"/>
    <w:rsid w:val="00F42991"/>
    <w:rsid w:val="00F66192"/>
    <w:rsid w:val="00F80196"/>
    <w:rsid w:val="00FB492E"/>
    <w:rsid w:val="00FE76A9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84"/>
        <o:r id="V:Rule11" type="callout" idref="#_x0000_s1072"/>
        <o:r id="V:Rule12" type="callout" idref="#_x0000_s1073"/>
        <o:r id="V:Rule13" type="callout" idref="#_x0000_s1074"/>
        <o:r id="V:Rule14" type="connector" idref="#_x0000_s1076"/>
        <o:r id="V:Rule15" type="connector" idref="#_x0000_s1081"/>
        <o:r id="V:Rule16" type="callout" idref="#_x0000_s1069"/>
        <o:r id="V:Rule17" type="callout" idref="#_x0000_s1026"/>
        <o:r id="V:Rule18" type="connector" idref="#_x0000_s1077"/>
        <o:r id="V:Rule19" type="connector" idref="#_x0000_s1080"/>
        <o:r id="V:Rule20" type="connector" idref="#_x0000_s1085"/>
        <o:r id="V:Rule21" type="connector" idref="#_x0000_s1079"/>
        <o:r id="V:Rule22" type="callout" idref="#_x0000_s1071"/>
        <o:r id="V:Rule23" type="connector" idref="#_x0000_s1082"/>
        <o:r id="V:Rule24" type="connector" idref="#_x0000_s1078"/>
        <o:r id="V:Rule25" type="callout" idref="#_x0000_s1070"/>
        <o:r id="V:Rule2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A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0BF8-105B-4606-91F5-E0B8083E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Chaabane</dc:creator>
  <cp:lastModifiedBy>Chaabane</cp:lastModifiedBy>
  <cp:revision>10</cp:revision>
  <cp:lastPrinted>2022-09-15T16:22:00Z</cp:lastPrinted>
  <dcterms:created xsi:type="dcterms:W3CDTF">2022-09-13T07:43:00Z</dcterms:created>
  <dcterms:modified xsi:type="dcterms:W3CDTF">2022-09-15T16:25:00Z</dcterms:modified>
</cp:coreProperties>
</file>